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AD" w:rsidRDefault="00AA1CAD" w:rsidP="00AA1CAD">
      <w:pPr>
        <w:rPr>
          <w:b/>
          <w:bCs/>
          <w:lang w:val="cs-CZ"/>
        </w:rPr>
      </w:pP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t xml:space="preserve">Februar   2019 </w:t>
      </w:r>
      <w:r>
        <w:rPr>
          <w:b/>
          <w:bCs/>
          <w:lang w:val="cs-CZ"/>
        </w:rPr>
        <w:tab/>
      </w:r>
      <w:r>
        <w:rPr>
          <w:b/>
          <w:bCs/>
          <w:lang w:val="cs-CZ"/>
        </w:rPr>
        <w:tab/>
      </w:r>
    </w:p>
    <w:p w:rsidR="00AA1CAD" w:rsidRDefault="00AA1CAD" w:rsidP="00AA1CAD">
      <w:pPr>
        <w:rPr>
          <w:b/>
          <w:bCs/>
          <w:lang w:val="cs-CZ"/>
        </w:rPr>
      </w:pPr>
    </w:p>
    <w:p w:rsidR="00AA1CAD" w:rsidRDefault="00AA1CAD" w:rsidP="00AA1CAD">
      <w:pPr>
        <w:rPr>
          <w:b/>
          <w:bCs/>
          <w:lang w:val="cs-CZ"/>
        </w:rPr>
      </w:pPr>
      <w:r>
        <w:rPr>
          <w:b/>
          <w:bCs/>
          <w:lang w:val="cs-CZ"/>
        </w:rPr>
        <w:t>Guten Tag, Grüezi.</w:t>
      </w:r>
    </w:p>
    <w:p w:rsidR="00AA1CAD" w:rsidRDefault="00AA1CAD" w:rsidP="00AA1CAD">
      <w:pPr>
        <w:rPr>
          <w:lang w:val="cs-CZ"/>
        </w:rPr>
      </w:pPr>
    </w:p>
    <w:p w:rsidR="00AA1CAD" w:rsidRDefault="00AA1CAD" w:rsidP="00AA1CAD">
      <w:proofErr w:type="gramStart"/>
      <w:r>
        <w:t>mit</w:t>
      </w:r>
      <w:proofErr w:type="gramEnd"/>
      <w:r>
        <w:t xml:space="preserve"> dieser E-Mail informieren wir Sie über eine interessante Technologie, mit der Unternehmen bei passendem Einsatz erhebliche Einsparungen verbuchen können.</w:t>
      </w:r>
    </w:p>
    <w:p w:rsidR="00AA1CAD" w:rsidRDefault="00AA1CAD" w:rsidP="00AA1CAD"/>
    <w:p w:rsidR="00AA1CAD" w:rsidRDefault="00AA1CAD" w:rsidP="00AA1CAD">
      <w:r>
        <w:t>Wir beschäftigen uns mit dem Thema «Metall entspannen mit Vibration» bereits seit 1981. Innerhalb der letzten fünf Jahre prüften wir seit 2014 zudem zahlreiche Erweiterungen und befinden uns heute auf einem hochaktuellen Entwicklungsstand.</w:t>
      </w:r>
    </w:p>
    <w:p w:rsidR="00AA1CAD" w:rsidRDefault="00AA1CAD" w:rsidP="00AA1CAD">
      <w:pPr>
        <w:rPr>
          <w:color w:val="1F497D"/>
        </w:rPr>
      </w:pPr>
    </w:p>
    <w:p w:rsidR="00AA1CAD" w:rsidRDefault="00AA1CAD" w:rsidP="00AA1CAD">
      <w:r>
        <w:t>Wir können inzwischen belegen, dass unsere Technologie nicht nur bei vergleichsweise kleineren Werkstücken für eine hervorragende Entspannung sorgt, sondern ebenfalls bei sehr großen Bauteilen wirkungsvoll einsetzbar ist. Gegebenenfalls sind die nachfolgenden praxisnahen Informationen für Sie von Interesse.</w:t>
      </w:r>
    </w:p>
    <w:p w:rsidR="00AA1CAD" w:rsidRDefault="00AA1CAD" w:rsidP="00AA1CAD"/>
    <w:p w:rsidR="00AA1CAD" w:rsidRDefault="00AA1CAD" w:rsidP="00AA1CAD">
      <w:r>
        <w:t>Anwendung bei namhaften Unternehmen:</w:t>
      </w:r>
    </w:p>
    <w:p w:rsidR="00AA1CAD" w:rsidRDefault="00AA1CAD" w:rsidP="00AA1CAD"/>
    <w:p w:rsidR="00AA1CAD" w:rsidRDefault="00AA1CAD" w:rsidP="00AA1CAD">
      <w:pPr>
        <w:numPr>
          <w:ilvl w:val="0"/>
          <w:numId w:val="4"/>
        </w:numPr>
        <w:rPr>
          <w:rFonts w:eastAsia="Times New Roman"/>
        </w:rPr>
      </w:pPr>
      <w:r>
        <w:rPr>
          <w:rFonts w:eastAsia="Times New Roman"/>
        </w:rPr>
        <w:t>Einsatz «Schwerwalzen» bei einem Schmiedehersteller, der Walzen für ABB produziert. </w:t>
      </w:r>
      <w:hyperlink r:id="rId5" w:history="1">
        <w:r>
          <w:rPr>
            <w:rStyle w:val="Hyperlink"/>
            <w:rFonts w:eastAsia="Times New Roman"/>
          </w:rPr>
          <w:t>Er vibriert heute die Walzen mit unserer Technologie vor dem Fertigdrehen</w:t>
        </w:r>
      </w:hyperlink>
      <w:r>
        <w:rPr>
          <w:rFonts w:eastAsia="Times New Roman"/>
        </w:rPr>
        <w:t xml:space="preserve">, obwohl das Unternehmen über </w:t>
      </w:r>
      <w:proofErr w:type="gramStart"/>
      <w:r>
        <w:rPr>
          <w:rFonts w:eastAsia="Times New Roman"/>
        </w:rPr>
        <w:t>einen eigene</w:t>
      </w:r>
      <w:proofErr w:type="gramEnd"/>
      <w:r>
        <w:rPr>
          <w:rFonts w:eastAsia="Times New Roman"/>
        </w:rPr>
        <w:t xml:space="preserve"> </w:t>
      </w:r>
      <w:proofErr w:type="spellStart"/>
      <w:r>
        <w:rPr>
          <w:rFonts w:eastAsia="Times New Roman"/>
        </w:rPr>
        <w:t>Glüherei</w:t>
      </w:r>
      <w:proofErr w:type="spellEnd"/>
      <w:r>
        <w:rPr>
          <w:rFonts w:eastAsia="Times New Roman"/>
        </w:rPr>
        <w:t xml:space="preserve"> verfügt. Die Resultate bei den Bauteilen sind technologisch identisch wie beim Glühverfahren. Allerdings spart das Unternehmend inzwischen mehrere tausend Euro gegenüber dem bisherigen </w:t>
      </w:r>
      <w:proofErr w:type="spellStart"/>
      <w:r>
        <w:rPr>
          <w:rFonts w:eastAsia="Times New Roman"/>
        </w:rPr>
        <w:t>energie-intensiven</w:t>
      </w:r>
      <w:proofErr w:type="spellEnd"/>
      <w:r>
        <w:rPr>
          <w:rFonts w:eastAsia="Times New Roman"/>
        </w:rPr>
        <w:t xml:space="preserve"> Glühen. Lediglich einige Untersuchungs</w:t>
      </w:r>
      <w:r>
        <w:rPr>
          <w:rFonts w:eastAsia="Times New Roman"/>
          <w:color w:val="1F497D"/>
        </w:rPr>
        <w:t>s</w:t>
      </w:r>
      <w:r>
        <w:rPr>
          <w:rFonts w:eastAsia="Times New Roman"/>
        </w:rPr>
        <w:t>tunden waren notwendig, um den genauen Prozessablauf festzulegen.</w:t>
      </w:r>
    </w:p>
    <w:p w:rsidR="00AA1CAD" w:rsidRDefault="00AA1CAD" w:rsidP="00AA1CAD"/>
    <w:p w:rsidR="00AA1CAD" w:rsidRDefault="00AA1CAD" w:rsidP="00AA1CAD">
      <w:pPr>
        <w:numPr>
          <w:ilvl w:val="0"/>
          <w:numId w:val="5"/>
        </w:numPr>
        <w:rPr>
          <w:rFonts w:eastAsia="Times New Roman"/>
        </w:rPr>
      </w:pPr>
      <w:r>
        <w:rPr>
          <w:rFonts w:eastAsia="Times New Roman"/>
        </w:rPr>
        <w:t xml:space="preserve">Siemens setzt zwei </w:t>
      </w:r>
      <w:proofErr w:type="spellStart"/>
      <w:r>
        <w:rPr>
          <w:rFonts w:eastAsia="Times New Roman"/>
        </w:rPr>
        <w:t>WIAP-Metall-Entspannungsanlagen</w:t>
      </w:r>
      <w:proofErr w:type="spellEnd"/>
      <w:r>
        <w:rPr>
          <w:rFonts w:eastAsia="Times New Roman"/>
        </w:rPr>
        <w:t xml:space="preserve"> ein. </w:t>
      </w:r>
    </w:p>
    <w:p w:rsidR="00AA1CAD" w:rsidRDefault="00AA1CAD" w:rsidP="00AA1CAD">
      <w:pPr>
        <w:pStyle w:val="Listenabsatz"/>
      </w:pPr>
      <w:r>
        <w:t xml:space="preserve">Eine Anlage entspannt </w:t>
      </w:r>
      <w:hyperlink r:id="rId6" w:history="1">
        <w:r>
          <w:rPr>
            <w:rStyle w:val="Hyperlink"/>
          </w:rPr>
          <w:t>Fahrzeuguntergestelle</w:t>
        </w:r>
      </w:hyperlink>
      <w:r>
        <w:t xml:space="preserve">: Hierbei lässt das Glühverfahren nicht einsetzen, da sich die Bauteile anschließend dennoch wieder verziehen. Der Einsatz unseres </w:t>
      </w:r>
      <w:proofErr w:type="spellStart"/>
      <w:r>
        <w:t>MEMV-Verfahrens</w:t>
      </w:r>
      <w:proofErr w:type="spellEnd"/>
      <w:r>
        <w:t xml:space="preserve"> löst hingegen dieses Problem.</w:t>
      </w:r>
    </w:p>
    <w:p w:rsidR="00AA1CAD" w:rsidRDefault="00AA1CAD" w:rsidP="00AA1CAD">
      <w:pPr>
        <w:pStyle w:val="Listenabsatz"/>
      </w:pPr>
      <w:r>
        <w:t xml:space="preserve">Eine weitere Anlage entspannt Gas </w:t>
      </w:r>
      <w:hyperlink r:id="rId7" w:history="1">
        <w:r>
          <w:rPr>
            <w:rStyle w:val="Hyperlink"/>
          </w:rPr>
          <w:t>Turbinen Ringe</w:t>
        </w:r>
      </w:hyperlink>
      <w:r>
        <w:t xml:space="preserve">: Vor dem Fertigbearbeiten werden diese vibriert, dann fertiggedreht und abschließend </w:t>
      </w:r>
      <w:proofErr w:type="spellStart"/>
      <w:r>
        <w:t>aufgelasert</w:t>
      </w:r>
      <w:proofErr w:type="spellEnd"/>
      <w:r>
        <w:t xml:space="preserve">. Glühen funktioniert in diesem Fall nicht, </w:t>
      </w:r>
      <w:proofErr w:type="gramStart"/>
      <w:r>
        <w:t>vibrieren</w:t>
      </w:r>
      <w:proofErr w:type="gramEnd"/>
      <w:r>
        <w:t xml:space="preserve"> und entspannen </w:t>
      </w:r>
      <w:proofErr w:type="spellStart"/>
      <w:r>
        <w:t>mithilfe</w:t>
      </w:r>
      <w:proofErr w:type="spellEnd"/>
      <w:r>
        <w:t xml:space="preserve"> des </w:t>
      </w:r>
      <w:proofErr w:type="spellStart"/>
      <w:r>
        <w:t>MEMV-Verfahrens</w:t>
      </w:r>
      <w:proofErr w:type="spellEnd"/>
      <w:r>
        <w:t xml:space="preserve"> hingegen schon. </w:t>
      </w:r>
    </w:p>
    <w:p w:rsidR="00AA1CAD" w:rsidRDefault="00AA1CAD" w:rsidP="00AA1CAD">
      <w:r>
        <w:t> </w:t>
      </w:r>
    </w:p>
    <w:p w:rsidR="00AA1CAD" w:rsidRDefault="00AA1CAD" w:rsidP="00AA1CAD">
      <w:pPr>
        <w:numPr>
          <w:ilvl w:val="0"/>
          <w:numId w:val="6"/>
        </w:numPr>
        <w:rPr>
          <w:rFonts w:eastAsia="Times New Roman"/>
          <w:color w:val="0070C0"/>
        </w:rPr>
      </w:pPr>
      <w:r>
        <w:rPr>
          <w:rFonts w:eastAsia="Times New Roman"/>
        </w:rPr>
        <w:t>Flammgerichtete und/oder hydraulisch gerichtete 12 Meter lange Formrohre werden nach dem Richten oft geglüht. Allerdings verziehen sich die langen Bauteile häufig auch wieder in die krumme Position</w:t>
      </w:r>
      <w:r>
        <w:rPr>
          <w:rFonts w:eastAsia="Times New Roman"/>
          <w:color w:val="1F497D"/>
        </w:rPr>
        <w:t xml:space="preserve"> </w:t>
      </w:r>
      <w:r>
        <w:rPr>
          <w:rFonts w:eastAsia="Times New Roman"/>
        </w:rPr>
        <w:t>zurück</w:t>
      </w:r>
      <w:proofErr w:type="gramStart"/>
      <w:r>
        <w:rPr>
          <w:rFonts w:eastAsia="Times New Roman"/>
        </w:rPr>
        <w:t xml:space="preserve">!  </w:t>
      </w:r>
      <w:proofErr w:type="gramEnd"/>
      <w:r>
        <w:rPr>
          <w:rFonts w:eastAsia="Times New Roman"/>
          <w:color w:val="0070C0"/>
        </w:rPr>
        <w:fldChar w:fldCharType="begin"/>
      </w:r>
      <w:r>
        <w:rPr>
          <w:rFonts w:eastAsia="Times New Roman"/>
          <w:color w:val="0070C0"/>
        </w:rPr>
        <w:instrText xml:space="preserve"> HYPERLINK "https://www.wiap.ch/Neuheiten%20MEMV%202016/Flammrichten.htm" </w:instrText>
      </w:r>
      <w:r>
        <w:rPr>
          <w:rFonts w:eastAsia="Times New Roman"/>
          <w:color w:val="0070C0"/>
        </w:rPr>
        <w:fldChar w:fldCharType="separate"/>
      </w:r>
      <w:r>
        <w:rPr>
          <w:rStyle w:val="Hyperlink"/>
          <w:rFonts w:eastAsia="Times New Roman"/>
          <w:color w:val="0070C0"/>
        </w:rPr>
        <w:t>Eine Abhilfe sehen sie unter diesem Link: WIAP MEMV Entspannen mit Vibration.</w:t>
      </w:r>
      <w:r>
        <w:rPr>
          <w:rFonts w:eastAsia="Times New Roman"/>
          <w:color w:val="0070C0"/>
        </w:rPr>
        <w:fldChar w:fldCharType="end"/>
      </w:r>
    </w:p>
    <w:p w:rsidR="00AA1CAD" w:rsidRDefault="00AA1CAD" w:rsidP="00AA1CAD">
      <w:pPr>
        <w:ind w:left="720"/>
      </w:pPr>
    </w:p>
    <w:p w:rsidR="00AA1CAD" w:rsidRDefault="00AA1CAD" w:rsidP="00AA1CAD">
      <w:pPr>
        <w:numPr>
          <w:ilvl w:val="0"/>
          <w:numId w:val="7"/>
        </w:numPr>
        <w:rPr>
          <w:rFonts w:eastAsia="Times New Roman"/>
        </w:rPr>
      </w:pPr>
      <w:r>
        <w:rPr>
          <w:rFonts w:eastAsia="Times New Roman"/>
        </w:rPr>
        <w:t>Bis 2014 nutzten wir das ältere Verfahren des Vibrierens, welches bereits damals schon hilfreich bei zahllosen Bauteilen zum Einsatz kam. Seit 2014 entspannen wir nun mit dem aktuelleren Verfahren «MEMV». Zahlreiche Stellen am Bauteil werden hierbei gemessen und die Anregung erfolgt in verschiedenen Richtungen. Die Ergebnisse bei der Bauteilentspannung sind damit noch effektiver als mit dem vorher bereits bewährten Vibrationssystem.</w:t>
      </w:r>
    </w:p>
    <w:p w:rsidR="00AA1CAD" w:rsidRDefault="00AA1CAD" w:rsidP="00AA1CAD">
      <w:r>
        <w:t>  </w:t>
      </w:r>
    </w:p>
    <w:p w:rsidR="00AA1CAD" w:rsidRDefault="00AA1CAD" w:rsidP="00AA1CAD">
      <w:pPr>
        <w:numPr>
          <w:ilvl w:val="0"/>
          <w:numId w:val="8"/>
        </w:numPr>
        <w:rPr>
          <w:rFonts w:eastAsia="Times New Roman"/>
        </w:rPr>
      </w:pPr>
      <w:r>
        <w:rPr>
          <w:rFonts w:eastAsia="Times New Roman"/>
        </w:rPr>
        <w:t xml:space="preserve">Unser Lieferprogramm wurde zudem umfangreich erweitert. Es gibt inzwischen </w:t>
      </w:r>
      <w:hyperlink r:id="rId8" w:history="1">
        <w:r>
          <w:rPr>
            <w:rStyle w:val="Hyperlink"/>
            <w:rFonts w:eastAsia="Times New Roman"/>
            <w:color w:val="0070C0"/>
          </w:rPr>
          <w:t> 4 unterschiedliche Vibratoren-Typen</w:t>
        </w:r>
      </w:hyperlink>
      <w:r>
        <w:rPr>
          <w:rFonts w:eastAsia="Times New Roman"/>
          <w:color w:val="0070C0"/>
        </w:rPr>
        <w:t xml:space="preserve">. </w:t>
      </w:r>
      <w:r>
        <w:rPr>
          <w:rFonts w:eastAsia="Times New Roman"/>
        </w:rPr>
        <w:t>Kunden können aus 5 Baugrössen wählen</w:t>
      </w:r>
      <w:r>
        <w:rPr>
          <w:rFonts w:eastAsia="Times New Roman"/>
          <w:color w:val="1F497D"/>
        </w:rPr>
        <w:t>:</w:t>
      </w:r>
      <w:r>
        <w:rPr>
          <w:rFonts w:eastAsia="Times New Roman"/>
        </w:rPr>
        <w:t xml:space="preserve">  Die kleinste Anlage kommt zum Einsatz bis 5 Tonnen Stückgewicht. Der am meisten eingesetzte Typ eignet sich für bis zu 20 Tonnen</w:t>
      </w:r>
      <w:r>
        <w:rPr>
          <w:rFonts w:eastAsia="Times New Roman"/>
          <w:color w:val="1F497D"/>
        </w:rPr>
        <w:t xml:space="preserve">. </w:t>
      </w:r>
      <w:r>
        <w:rPr>
          <w:rFonts w:eastAsia="Times New Roman"/>
        </w:rPr>
        <w:t xml:space="preserve">Zusätzlich verfügen wir nun auch über ein 50 Tonnen-, 100 Tonnen- sowie 200 Tonnen-Gerät. </w:t>
      </w:r>
    </w:p>
    <w:p w:rsidR="00AA1CAD" w:rsidRDefault="00AA1CAD" w:rsidP="00AA1CAD"/>
    <w:p w:rsidR="00AA1CAD" w:rsidRDefault="00AA1CAD" w:rsidP="00AA1CAD">
      <w:pPr>
        <w:numPr>
          <w:ilvl w:val="0"/>
          <w:numId w:val="9"/>
        </w:numPr>
        <w:rPr>
          <w:rFonts w:eastAsia="Times New Roman"/>
        </w:rPr>
      </w:pPr>
      <w:r>
        <w:rPr>
          <w:rFonts w:eastAsia="Times New Roman"/>
        </w:rPr>
        <w:lastRenderedPageBreak/>
        <w:t>Darüber hinaus konnten wir in der jüngeren Vergangenheit unser Know-how bei schweren Bauteilen umfangreich erweitern (</w:t>
      </w:r>
      <w:hyperlink r:id="rId9" w:history="1">
        <w:r>
          <w:rPr>
            <w:rStyle w:val="Hyperlink"/>
            <w:rFonts w:eastAsia="Times New Roman"/>
          </w:rPr>
          <w:t>siehe hier</w:t>
        </w:r>
      </w:hyperlink>
      <w:r>
        <w:rPr>
          <w:rFonts w:eastAsia="Times New Roman"/>
        </w:rPr>
        <w:t>).</w:t>
      </w:r>
    </w:p>
    <w:p w:rsidR="00AA1CAD" w:rsidRDefault="00AA1CAD" w:rsidP="00AA1CAD"/>
    <w:p w:rsidR="00AA1CAD" w:rsidRDefault="00AA1CAD" w:rsidP="00AA1CAD"/>
    <w:p w:rsidR="00AA1CAD" w:rsidRDefault="00AA1CAD" w:rsidP="00AA1CAD">
      <w:r>
        <w:t xml:space="preserve">Der nächste Link führt zu unserem aktuellen Prospekt inklusive diversen Fotos mit insgesamt 12 Seiten im </w:t>
      </w:r>
      <w:proofErr w:type="spellStart"/>
      <w:r>
        <w:t>PDF-Format</w:t>
      </w:r>
      <w:proofErr w:type="spellEnd"/>
      <w:r>
        <w:t>, das sich auch bestens zum Ausdrucken eignet:</w:t>
      </w:r>
    </w:p>
    <w:p w:rsidR="00AA1CAD" w:rsidRDefault="00AA1CAD" w:rsidP="00AA1CAD">
      <w:pPr>
        <w:rPr>
          <w:color w:val="1F497D"/>
        </w:rPr>
      </w:pPr>
    </w:p>
    <w:p w:rsidR="00AA1CAD" w:rsidRDefault="00AA1CAD" w:rsidP="00AA1CAD">
      <w:pPr>
        <w:rPr>
          <w:color w:val="1F497D"/>
        </w:rPr>
      </w:pPr>
      <w:r>
        <w:rPr>
          <w:noProof/>
          <w:color w:val="1F497D"/>
        </w:rPr>
        <w:drawing>
          <wp:inline distT="0" distB="0" distL="0" distR="0">
            <wp:extent cx="3810000" cy="381000"/>
            <wp:effectExtent l="19050" t="0" r="0" b="0"/>
            <wp:docPr id="1" name="img134" descr="Prospekt Produktmeldung MEMV 12 Seiten, Deutsch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4" descr="Prospekt Produktmeldung MEMV 12 Seiten, Deutsch "/>
                    <pic:cNvPicPr>
                      <a:picLocks noChangeAspect="1" noChangeArrowheads="1"/>
                    </pic:cNvPicPr>
                  </pic:nvPicPr>
                  <pic:blipFill>
                    <a:blip r:embed="rId11" r:link="rId12" cstate="print"/>
                    <a:srcRect/>
                    <a:stretch>
                      <a:fillRect/>
                    </a:stretch>
                  </pic:blipFill>
                  <pic:spPr bwMode="auto">
                    <a:xfrm>
                      <a:off x="0" y="0"/>
                      <a:ext cx="3810000" cy="381000"/>
                    </a:xfrm>
                    <a:prstGeom prst="rect">
                      <a:avLst/>
                    </a:prstGeom>
                    <a:noFill/>
                    <a:ln w="9525">
                      <a:noFill/>
                      <a:miter lim="800000"/>
                      <a:headEnd/>
                      <a:tailEnd/>
                    </a:ln>
                  </pic:spPr>
                </pic:pic>
              </a:graphicData>
            </a:graphic>
          </wp:inline>
        </w:drawing>
      </w:r>
    </w:p>
    <w:p w:rsidR="00AA1CAD" w:rsidRDefault="00AA1CAD" w:rsidP="00AA1CAD"/>
    <w:p w:rsidR="00AA1CAD" w:rsidRDefault="00AA1CAD" w:rsidP="00AA1CAD">
      <w:r>
        <w:t xml:space="preserve">Prospekt in Englisch: </w:t>
      </w:r>
    </w:p>
    <w:p w:rsidR="00AA1CAD" w:rsidRDefault="00AA1CAD" w:rsidP="00AA1CAD">
      <w:pPr>
        <w:rPr>
          <w:color w:val="1F497D"/>
        </w:rPr>
      </w:pPr>
      <w:r>
        <w:rPr>
          <w:color w:val="1F497D"/>
        </w:rPr>
        <w:t>                                              </w:t>
      </w:r>
    </w:p>
    <w:p w:rsidR="00AA1CAD" w:rsidRDefault="00AA1CAD" w:rsidP="00AA1CAD">
      <w:pPr>
        <w:rPr>
          <w:color w:val="1F497D"/>
        </w:rPr>
      </w:pPr>
      <w:r>
        <w:br/>
      </w:r>
      <w:r>
        <w:rPr>
          <w:noProof/>
        </w:rPr>
        <w:drawing>
          <wp:inline distT="0" distB="0" distL="0" distR="0">
            <wp:extent cx="3810000" cy="381000"/>
            <wp:effectExtent l="19050" t="0" r="0" b="0"/>
            <wp:docPr id="2" name="img136" descr="Flyer Product Information MEMV 12 pages,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6" descr="Flyer Product Information MEMV 12 pages, english"/>
                    <pic:cNvPicPr>
                      <a:picLocks noChangeAspect="1" noChangeArrowheads="1"/>
                    </pic:cNvPicPr>
                  </pic:nvPicPr>
                  <pic:blipFill>
                    <a:blip r:embed="rId13" r:link="rId14" cstate="print"/>
                    <a:srcRect/>
                    <a:stretch>
                      <a:fillRect/>
                    </a:stretch>
                  </pic:blipFill>
                  <pic:spPr bwMode="auto">
                    <a:xfrm>
                      <a:off x="0" y="0"/>
                      <a:ext cx="3810000" cy="381000"/>
                    </a:xfrm>
                    <a:prstGeom prst="rect">
                      <a:avLst/>
                    </a:prstGeom>
                    <a:noFill/>
                    <a:ln w="9525">
                      <a:noFill/>
                      <a:miter lim="800000"/>
                      <a:headEnd/>
                      <a:tailEnd/>
                    </a:ln>
                  </pic:spPr>
                </pic:pic>
              </a:graphicData>
            </a:graphic>
          </wp:inline>
        </w:drawing>
      </w:r>
    </w:p>
    <w:p w:rsidR="00AA1CAD" w:rsidRDefault="00AA1CAD" w:rsidP="00AA1CAD">
      <w:pPr>
        <w:rPr>
          <w:color w:val="1F497D"/>
        </w:rPr>
      </w:pPr>
    </w:p>
    <w:p w:rsidR="00AA1CAD" w:rsidRDefault="00AA1CAD" w:rsidP="00AA1CAD">
      <w:r>
        <w:t xml:space="preserve">Im nachfolgenden Link finden Sie einen ganz neuen Bericht über das </w:t>
      </w:r>
      <w:proofErr w:type="spellStart"/>
      <w:r>
        <w:t>MEMV-Verfahren</w:t>
      </w:r>
      <w:proofErr w:type="spellEnd"/>
      <w:r>
        <w:t xml:space="preserve"> «Metall entspannen mit Vibration» (</w:t>
      </w:r>
      <w:proofErr w:type="spellStart"/>
      <w:r>
        <w:t>PDF-Dokument</w:t>
      </w:r>
      <w:proofErr w:type="spellEnd"/>
      <w:r>
        <w:t xml:space="preserve"> mit 13 Seiten).</w:t>
      </w:r>
    </w:p>
    <w:p w:rsidR="00AA1CAD" w:rsidRDefault="00AA1CAD" w:rsidP="00AA1CAD">
      <w:pPr>
        <w:rPr>
          <w:color w:val="1F497D"/>
        </w:rPr>
      </w:pPr>
    </w:p>
    <w:p w:rsidR="00AA1CAD" w:rsidRDefault="00AA1CAD" w:rsidP="00AA1CAD">
      <w:pPr>
        <w:rPr>
          <w:color w:val="1F497D"/>
        </w:rPr>
      </w:pPr>
      <w:r>
        <w:rPr>
          <w:noProof/>
          <w:color w:val="1F497D"/>
        </w:rPr>
        <w:drawing>
          <wp:inline distT="0" distB="0" distL="0" distR="0">
            <wp:extent cx="3810000" cy="381000"/>
            <wp:effectExtent l="19050" t="0" r="0" b="0"/>
            <wp:docPr id="3" name="img130" descr="WC11510 Erfahrungsbericht WIAP MEMV 20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0" descr="WC11510 Erfahrungsbericht WIAP MEMV 2019"/>
                    <pic:cNvPicPr>
                      <a:picLocks noChangeAspect="1" noChangeArrowheads="1"/>
                    </pic:cNvPicPr>
                  </pic:nvPicPr>
                  <pic:blipFill>
                    <a:blip r:embed="rId16" r:link="rId17" cstate="print"/>
                    <a:srcRect/>
                    <a:stretch>
                      <a:fillRect/>
                    </a:stretch>
                  </pic:blipFill>
                  <pic:spPr bwMode="auto">
                    <a:xfrm>
                      <a:off x="0" y="0"/>
                      <a:ext cx="3810000" cy="381000"/>
                    </a:xfrm>
                    <a:prstGeom prst="rect">
                      <a:avLst/>
                    </a:prstGeom>
                    <a:noFill/>
                    <a:ln w="9525">
                      <a:noFill/>
                      <a:miter lim="800000"/>
                      <a:headEnd/>
                      <a:tailEnd/>
                    </a:ln>
                  </pic:spPr>
                </pic:pic>
              </a:graphicData>
            </a:graphic>
          </wp:inline>
        </w:drawing>
      </w:r>
      <w:r>
        <w:rPr>
          <w:color w:val="1F497D"/>
        </w:rPr>
        <w:t>                                    </w:t>
      </w:r>
    </w:p>
    <w:p w:rsidR="00AA1CAD" w:rsidRDefault="00AA1CAD" w:rsidP="00AA1CAD"/>
    <w:p w:rsidR="00AA1CAD" w:rsidRDefault="00AA1CAD" w:rsidP="00AA1CAD">
      <w:r>
        <w:t>Hier finden Sie weitere Informationen zu unseren Patenten:</w:t>
      </w:r>
    </w:p>
    <w:p w:rsidR="00AA1CAD" w:rsidRDefault="00AA1CAD" w:rsidP="00AA1CAD"/>
    <w:p w:rsidR="00AA1CAD" w:rsidRDefault="00AA1CAD" w:rsidP="00AA1CAD">
      <w:pPr>
        <w:rPr>
          <w:rFonts w:ascii="Times New Roman" w:hAnsi="Times New Roman" w:cs="Times New Roman"/>
          <w:color w:val="1F497D"/>
          <w:sz w:val="27"/>
          <w:szCs w:val="27"/>
        </w:rPr>
      </w:pPr>
      <w:r>
        <w:rPr>
          <w:noProof/>
          <w:color w:val="1F497D"/>
        </w:rPr>
        <w:drawing>
          <wp:inline distT="0" distB="0" distL="0" distR="0">
            <wp:extent cx="2381250" cy="381000"/>
            <wp:effectExtent l="19050" t="0" r="0" b="0"/>
            <wp:docPr id="4" name="Bild 4" descr="Patente 20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ente 2014"/>
                    <pic:cNvPicPr>
                      <a:picLocks noChangeAspect="1" noChangeArrowheads="1"/>
                    </pic:cNvPicPr>
                  </pic:nvPicPr>
                  <pic:blipFill>
                    <a:blip r:embed="rId19" r:link="rId20" cstate="print"/>
                    <a:srcRect/>
                    <a:stretch>
                      <a:fillRect/>
                    </a:stretch>
                  </pic:blipFill>
                  <pic:spPr bwMode="auto">
                    <a:xfrm>
                      <a:off x="0" y="0"/>
                      <a:ext cx="2381250" cy="381000"/>
                    </a:xfrm>
                    <a:prstGeom prst="rect">
                      <a:avLst/>
                    </a:prstGeom>
                    <a:noFill/>
                    <a:ln w="9525">
                      <a:noFill/>
                      <a:miter lim="800000"/>
                      <a:headEnd/>
                      <a:tailEnd/>
                    </a:ln>
                  </pic:spPr>
                </pic:pic>
              </a:graphicData>
            </a:graphic>
          </wp:inline>
        </w:drawing>
      </w:r>
      <w:r>
        <w:rPr>
          <w:rFonts w:ascii="Times New Roman" w:hAnsi="Times New Roman" w:cs="Times New Roman"/>
          <w:color w:val="000000"/>
          <w:sz w:val="27"/>
          <w:szCs w:val="27"/>
        </w:rPr>
        <w:t xml:space="preserve">   </w:t>
      </w:r>
    </w:p>
    <w:p w:rsidR="00AA1CAD" w:rsidRDefault="00AA1CAD" w:rsidP="00AA1CAD"/>
    <w:p w:rsidR="00AA1CAD" w:rsidRDefault="00AA1CAD" w:rsidP="00AA1CAD">
      <w:r>
        <w:t>Patent 3D Vibrator (MEMV VS System genannt)</w:t>
      </w:r>
    </w:p>
    <w:p w:rsidR="00AA1CAD" w:rsidRDefault="00AA1CAD" w:rsidP="00AA1CAD">
      <w:pPr>
        <w:rPr>
          <w:color w:val="1F497D"/>
        </w:rPr>
      </w:pPr>
    </w:p>
    <w:p w:rsidR="00AA1CAD" w:rsidRDefault="00AA1CAD" w:rsidP="00AA1CAD">
      <w:pPr>
        <w:rPr>
          <w:rFonts w:ascii="Times New Roman" w:hAnsi="Times New Roman" w:cs="Times New Roman"/>
          <w:color w:val="1F497D"/>
          <w:lang w:val="de-DE"/>
        </w:rPr>
      </w:pPr>
      <w:r>
        <w:rPr>
          <w:rFonts w:ascii="Times New Roman" w:hAnsi="Times New Roman" w:cs="Times New Roman"/>
          <w:noProof/>
          <w:color w:val="000000"/>
          <w:sz w:val="27"/>
          <w:szCs w:val="27"/>
        </w:rPr>
        <w:drawing>
          <wp:inline distT="0" distB="0" distL="0" distR="0">
            <wp:extent cx="2381250" cy="381000"/>
            <wp:effectExtent l="19050" t="0" r="0" b="0"/>
            <wp:docPr id="5" name="Bild 5" descr="Patente 2017/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tente 2017/1"/>
                    <pic:cNvPicPr>
                      <a:picLocks noChangeAspect="1" noChangeArrowheads="1"/>
                    </pic:cNvPicPr>
                  </pic:nvPicPr>
                  <pic:blipFill>
                    <a:blip r:embed="rId22" r:link="rId23" cstate="print"/>
                    <a:srcRect/>
                    <a:stretch>
                      <a:fillRect/>
                    </a:stretch>
                  </pic:blipFill>
                  <pic:spPr bwMode="auto">
                    <a:xfrm>
                      <a:off x="0" y="0"/>
                      <a:ext cx="2381250" cy="381000"/>
                    </a:xfrm>
                    <a:prstGeom prst="rect">
                      <a:avLst/>
                    </a:prstGeom>
                    <a:noFill/>
                    <a:ln w="9525">
                      <a:noFill/>
                      <a:miter lim="800000"/>
                      <a:headEnd/>
                      <a:tailEnd/>
                    </a:ln>
                  </pic:spPr>
                </pic:pic>
              </a:graphicData>
            </a:graphic>
          </wp:inline>
        </w:drawing>
      </w:r>
      <w:r>
        <w:rPr>
          <w:rFonts w:ascii="Times New Roman" w:hAnsi="Times New Roman" w:cs="Times New Roman"/>
          <w:color w:val="000000"/>
          <w:sz w:val="27"/>
          <w:szCs w:val="27"/>
          <w:lang w:val="de-DE"/>
        </w:rPr>
        <w:t> </w:t>
      </w:r>
      <w:r>
        <w:rPr>
          <w:rFonts w:ascii="Times New Roman" w:hAnsi="Times New Roman" w:cs="Times New Roman"/>
          <w:color w:val="1F497D"/>
          <w:sz w:val="27"/>
          <w:szCs w:val="27"/>
          <w:lang w:val="de-DE"/>
        </w:rPr>
        <w:t xml:space="preserve"> </w:t>
      </w:r>
      <w:r>
        <w:rPr>
          <w:rFonts w:ascii="Times New Roman" w:hAnsi="Times New Roman" w:cs="Times New Roman"/>
          <w:color w:val="1F497D"/>
          <w:lang w:val="de-DE"/>
        </w:rPr>
        <w:t> </w:t>
      </w:r>
    </w:p>
    <w:p w:rsidR="00AA1CAD" w:rsidRDefault="00AA1CAD" w:rsidP="00AA1CAD"/>
    <w:p w:rsidR="00AA1CAD" w:rsidRDefault="00AA1CAD" w:rsidP="00AA1CAD">
      <w:pPr>
        <w:rPr>
          <w:sz w:val="27"/>
          <w:szCs w:val="27"/>
        </w:rPr>
      </w:pPr>
      <w:r>
        <w:t>Patent Messen</w:t>
      </w:r>
      <w:r>
        <w:rPr>
          <w:sz w:val="27"/>
          <w:szCs w:val="27"/>
        </w:rPr>
        <w:t xml:space="preserve"> </w:t>
      </w:r>
    </w:p>
    <w:p w:rsidR="00AA1CAD" w:rsidRDefault="00AA1CAD" w:rsidP="00AA1CAD">
      <w:pPr>
        <w:rPr>
          <w:color w:val="1F497D"/>
          <w:lang w:val="de-DE"/>
        </w:rPr>
      </w:pPr>
    </w:p>
    <w:p w:rsidR="00AA1CAD" w:rsidRDefault="00AA1CAD" w:rsidP="00AA1CAD">
      <w:pPr>
        <w:rPr>
          <w:color w:val="1F497D"/>
        </w:rPr>
      </w:pPr>
      <w:r>
        <w:rPr>
          <w:noProof/>
        </w:rPr>
        <w:drawing>
          <wp:inline distT="0" distB="0" distL="0" distR="0">
            <wp:extent cx="2381250" cy="381000"/>
            <wp:effectExtent l="19050" t="0" r="0" b="0"/>
            <wp:docPr id="6" name="Bild 6" descr="Patente 2017/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ente 2017/2"/>
                    <pic:cNvPicPr>
                      <a:picLocks noChangeAspect="1" noChangeArrowheads="1"/>
                    </pic:cNvPicPr>
                  </pic:nvPicPr>
                  <pic:blipFill>
                    <a:blip r:embed="rId25" r:link="rId26" cstate="print"/>
                    <a:srcRect/>
                    <a:stretch>
                      <a:fillRect/>
                    </a:stretch>
                  </pic:blipFill>
                  <pic:spPr bwMode="auto">
                    <a:xfrm>
                      <a:off x="0" y="0"/>
                      <a:ext cx="2381250" cy="381000"/>
                    </a:xfrm>
                    <a:prstGeom prst="rect">
                      <a:avLst/>
                    </a:prstGeom>
                    <a:noFill/>
                    <a:ln w="9525">
                      <a:noFill/>
                      <a:miter lim="800000"/>
                      <a:headEnd/>
                      <a:tailEnd/>
                    </a:ln>
                  </pic:spPr>
                </pic:pic>
              </a:graphicData>
            </a:graphic>
          </wp:inline>
        </w:drawing>
      </w:r>
      <w:r>
        <w:t>   </w:t>
      </w:r>
    </w:p>
    <w:p w:rsidR="00AA1CAD" w:rsidRDefault="00AA1CAD" w:rsidP="00AA1CAD"/>
    <w:p w:rsidR="00AA1CAD" w:rsidRDefault="00AA1CAD" w:rsidP="00AA1CAD">
      <w:r>
        <w:t xml:space="preserve">Patent neuer </w:t>
      </w:r>
      <w:proofErr w:type="spellStart"/>
      <w:r>
        <w:t>MEMV-Automat</w:t>
      </w:r>
      <w:proofErr w:type="spellEnd"/>
    </w:p>
    <w:p w:rsidR="00AA1CAD" w:rsidRDefault="00AA1CAD" w:rsidP="00AA1CAD"/>
    <w:p w:rsidR="00AA1CAD" w:rsidRDefault="00AA1CAD" w:rsidP="00AA1CAD">
      <w:pPr>
        <w:ind w:left="3540" w:firstLine="708"/>
      </w:pPr>
    </w:p>
    <w:p w:rsidR="00AA1CAD" w:rsidRDefault="00AA1CAD" w:rsidP="00AA1CAD">
      <w:r>
        <w:t>Eine fundierte Untersuchung aus dem Jahr 1986 ergab bereits damals schon den Beweis, dass diese einmalige Vibrationstechnologie bei entsprechendem Einsatz positiv auf die Bauteile einwirkt. Dieser Bericht diente als Basis, als wir ab dem Jahr 2014 mit erheblich mehr Details und entsprechendem Aufwand das Verfahren Metall entspannen mit Vibration weiter untersuchten und seitdem entscheidend verbesserten.</w:t>
      </w:r>
    </w:p>
    <w:p w:rsidR="00AA1CAD" w:rsidRDefault="00AA1CAD" w:rsidP="00AA1CAD">
      <w:pPr>
        <w:rPr>
          <w:color w:val="1F497D"/>
        </w:rPr>
      </w:pPr>
    </w:p>
    <w:p w:rsidR="00AA1CAD" w:rsidRDefault="00AA1CAD" w:rsidP="00AA1CAD">
      <w:pPr>
        <w:rPr>
          <w:color w:val="0070C0"/>
          <w:lang w:val="de-DE"/>
        </w:rPr>
      </w:pPr>
      <w:hyperlink r:id="rId27" w:history="1">
        <w:proofErr w:type="spellStart"/>
        <w:r>
          <w:rPr>
            <w:rStyle w:val="Hyperlink"/>
            <w:color w:val="0070C0"/>
          </w:rPr>
          <w:t>Gnirrs</w:t>
        </w:r>
        <w:proofErr w:type="spellEnd"/>
        <w:r>
          <w:rPr>
            <w:rStyle w:val="Hyperlink"/>
            <w:color w:val="0070C0"/>
          </w:rPr>
          <w:t xml:space="preserve"> Bericht    1986  Original deutsch</w:t>
        </w:r>
      </w:hyperlink>
      <w:r>
        <w:rPr>
          <w:color w:val="0070C0"/>
        </w:rPr>
        <w:t>                   </w:t>
      </w:r>
      <w:hyperlink r:id="rId28" w:history="1">
        <w:r>
          <w:rPr>
            <w:rStyle w:val="Hyperlink"/>
            <w:color w:val="0070C0"/>
          </w:rPr>
          <w:t xml:space="preserve">Besser lesbare  Datei    vom </w:t>
        </w:r>
        <w:proofErr w:type="spellStart"/>
        <w:r>
          <w:rPr>
            <w:rStyle w:val="Hyperlink"/>
            <w:color w:val="0070C0"/>
          </w:rPr>
          <w:t>Gnirrs</w:t>
        </w:r>
        <w:proofErr w:type="spellEnd"/>
        <w:r>
          <w:rPr>
            <w:rStyle w:val="Hyperlink"/>
            <w:color w:val="0070C0"/>
          </w:rPr>
          <w:t>   1986 Deutsch</w:t>
        </w:r>
      </w:hyperlink>
    </w:p>
    <w:p w:rsidR="00AA1CAD" w:rsidRDefault="00AA1CAD" w:rsidP="00AA1CAD">
      <w:pPr>
        <w:rPr>
          <w:lang w:val="de-DE"/>
        </w:rPr>
      </w:pPr>
      <w:hyperlink r:id="rId29" w:history="1">
        <w:proofErr w:type="spellStart"/>
        <w:r>
          <w:rPr>
            <w:rStyle w:val="Hyperlink"/>
          </w:rPr>
          <w:t>Gnirrs</w:t>
        </w:r>
        <w:proofErr w:type="spellEnd"/>
        <w:r>
          <w:rPr>
            <w:rStyle w:val="Hyperlink"/>
          </w:rPr>
          <w:t xml:space="preserve"> Bericht    1988  Original englisch</w:t>
        </w:r>
      </w:hyperlink>
      <w:r>
        <w:t>                   </w:t>
      </w:r>
      <w:hyperlink r:id="rId30" w:history="1">
        <w:r>
          <w:rPr>
            <w:rStyle w:val="Hyperlink"/>
          </w:rPr>
          <w:t xml:space="preserve">Besser lesbare  Datei    vom </w:t>
        </w:r>
        <w:proofErr w:type="spellStart"/>
        <w:r>
          <w:rPr>
            <w:rStyle w:val="Hyperlink"/>
          </w:rPr>
          <w:t>Gnirrs</w:t>
        </w:r>
        <w:proofErr w:type="spellEnd"/>
        <w:r>
          <w:rPr>
            <w:rStyle w:val="Hyperlink"/>
          </w:rPr>
          <w:t>   1986 Englisch</w:t>
        </w:r>
      </w:hyperlink>
    </w:p>
    <w:p w:rsidR="00AA1CAD" w:rsidRDefault="00AA1CAD" w:rsidP="00AA1CAD">
      <w:pPr>
        <w:rPr>
          <w:lang w:val="de-DE"/>
        </w:rPr>
      </w:pPr>
      <w:hyperlink r:id="rId31" w:history="1">
        <w:proofErr w:type="spellStart"/>
        <w:r>
          <w:rPr>
            <w:rStyle w:val="Hyperlink"/>
          </w:rPr>
          <w:t>Gnirrs</w:t>
        </w:r>
        <w:proofErr w:type="spellEnd"/>
        <w:r>
          <w:rPr>
            <w:rStyle w:val="Hyperlink"/>
          </w:rPr>
          <w:t xml:space="preserve"> Bericht    1988  Original französisch</w:t>
        </w:r>
      </w:hyperlink>
      <w:r>
        <w:t>             </w:t>
      </w:r>
      <w:hyperlink r:id="rId32" w:history="1">
        <w:r>
          <w:rPr>
            <w:rStyle w:val="Hyperlink"/>
          </w:rPr>
          <w:t xml:space="preserve">Besser lesbare  Datei    vom </w:t>
        </w:r>
        <w:proofErr w:type="spellStart"/>
        <w:r>
          <w:rPr>
            <w:rStyle w:val="Hyperlink"/>
          </w:rPr>
          <w:t>Gnirrs</w:t>
        </w:r>
        <w:proofErr w:type="spellEnd"/>
        <w:r>
          <w:rPr>
            <w:rStyle w:val="Hyperlink"/>
          </w:rPr>
          <w:t>   1985 Französisch</w:t>
        </w:r>
      </w:hyperlink>
    </w:p>
    <w:p w:rsidR="00AA1CAD" w:rsidRDefault="00AA1CAD" w:rsidP="00AA1CAD">
      <w:pPr>
        <w:rPr>
          <w:lang w:val="de-DE"/>
        </w:rPr>
      </w:pPr>
    </w:p>
    <w:p w:rsidR="00AA1CAD" w:rsidRDefault="00AA1CAD" w:rsidP="00AA1CAD">
      <w:pPr>
        <w:rPr>
          <w:lang w:val="de-DE"/>
        </w:rPr>
      </w:pPr>
      <w:r>
        <w:rPr>
          <w:lang w:val="de-DE"/>
        </w:rPr>
        <w:t xml:space="preserve">Die WIAP AG beachtet heute weitere Details beim Einsatz des Systems </w:t>
      </w:r>
      <w:r>
        <w:t>«</w:t>
      </w:r>
      <w:r>
        <w:rPr>
          <w:lang w:val="de-DE"/>
        </w:rPr>
        <w:t>MEMV Metall entspannen mit Vibration</w:t>
      </w:r>
      <w:r>
        <w:t>»</w:t>
      </w:r>
      <w:r>
        <w:rPr>
          <w:color w:val="1F497D"/>
          <w:lang w:val="de-DE"/>
        </w:rPr>
        <w:t>:</w:t>
      </w:r>
    </w:p>
    <w:p w:rsidR="00AA1CAD" w:rsidRDefault="00AA1CAD" w:rsidP="00AA1CAD">
      <w:pPr>
        <w:rPr>
          <w:lang w:val="de-DE"/>
        </w:rPr>
      </w:pPr>
    </w:p>
    <w:p w:rsidR="00AA1CAD" w:rsidRDefault="00AA1CAD" w:rsidP="00AA1CAD">
      <w:pPr>
        <w:numPr>
          <w:ilvl w:val="0"/>
          <w:numId w:val="10"/>
        </w:numPr>
        <w:rPr>
          <w:rFonts w:eastAsia="Times New Roman"/>
          <w:lang w:val="de-DE"/>
        </w:rPr>
      </w:pPr>
      <w:r>
        <w:rPr>
          <w:rFonts w:eastAsia="Times New Roman"/>
          <w:lang w:val="de-DE"/>
        </w:rPr>
        <w:t>Beim älteren Verfahren wurden lediglich 2 Achsrichtungen angeregt, also nur ein Teil des Bauteils.</w:t>
      </w:r>
    </w:p>
    <w:p w:rsidR="00AA1CAD" w:rsidRDefault="00AA1CAD" w:rsidP="00AA1CAD">
      <w:pPr>
        <w:numPr>
          <w:ilvl w:val="0"/>
          <w:numId w:val="10"/>
        </w:numPr>
        <w:rPr>
          <w:rFonts w:eastAsia="Times New Roman"/>
          <w:lang w:val="de-DE"/>
        </w:rPr>
      </w:pPr>
      <w:r>
        <w:rPr>
          <w:rFonts w:eastAsia="Times New Roman"/>
          <w:lang w:val="de-DE"/>
        </w:rPr>
        <w:t xml:space="preserve">Wenn der Vibrator auf der </w:t>
      </w:r>
      <w:proofErr w:type="spellStart"/>
      <w:r>
        <w:rPr>
          <w:rFonts w:eastAsia="Times New Roman"/>
          <w:lang w:val="de-DE"/>
        </w:rPr>
        <w:t>Totzone</w:t>
      </w:r>
      <w:proofErr w:type="spellEnd"/>
      <w:r>
        <w:rPr>
          <w:rFonts w:eastAsia="Times New Roman"/>
          <w:lang w:val="de-DE"/>
        </w:rPr>
        <w:t xml:space="preserve"> bzw. dem Knotenpunkt aufgesetzt wird, kann keine Anregung erfolgen. Ein 12-Meter-Bauteil hat beispielsweise 4 </w:t>
      </w:r>
      <w:proofErr w:type="spellStart"/>
      <w:r>
        <w:rPr>
          <w:rFonts w:eastAsia="Times New Roman"/>
          <w:lang w:val="de-DE"/>
        </w:rPr>
        <w:t>Totzonen</w:t>
      </w:r>
      <w:proofErr w:type="spellEnd"/>
      <w:r>
        <w:rPr>
          <w:rFonts w:eastAsia="Times New Roman"/>
          <w:lang w:val="de-DE"/>
        </w:rPr>
        <w:t xml:space="preserve">, die sich nun sicher identifizieren lassen. </w:t>
      </w:r>
    </w:p>
    <w:p w:rsidR="00AA1CAD" w:rsidRDefault="00AA1CAD" w:rsidP="00AA1CAD">
      <w:pPr>
        <w:numPr>
          <w:ilvl w:val="0"/>
          <w:numId w:val="11"/>
        </w:numPr>
        <w:rPr>
          <w:rFonts w:eastAsia="Times New Roman"/>
          <w:lang w:val="de-DE"/>
        </w:rPr>
      </w:pPr>
      <w:r>
        <w:rPr>
          <w:rFonts w:eastAsia="Times New Roman"/>
          <w:lang w:val="de-DE"/>
        </w:rPr>
        <w:t xml:space="preserve">Nur mit einer entsprechenden Bauteil-Analyse kann ein kontrolliertes Vibrationsentspannen mit bestem Ergebnis erfolgen. So lässt sich auch die optimale Anbringung des Anregers bestimmen. </w:t>
      </w:r>
    </w:p>
    <w:p w:rsidR="00AA1CAD" w:rsidRDefault="00AA1CAD" w:rsidP="00AA1CAD">
      <w:pPr>
        <w:numPr>
          <w:ilvl w:val="0"/>
          <w:numId w:val="11"/>
        </w:numPr>
        <w:rPr>
          <w:rFonts w:eastAsia="Times New Roman"/>
          <w:lang w:val="de-DE"/>
        </w:rPr>
      </w:pPr>
      <w:r>
        <w:rPr>
          <w:rFonts w:eastAsia="Times New Roman"/>
          <w:lang w:val="de-DE"/>
        </w:rPr>
        <w:t>Je nach Bauteil-Steifigkeit muss zusätzlich eine entsprechende Anreger-Energie ins Bauteil eingebracht werden.</w:t>
      </w:r>
    </w:p>
    <w:p w:rsidR="00AA1CAD" w:rsidRDefault="00AA1CAD" w:rsidP="00AA1CAD">
      <w:pPr>
        <w:numPr>
          <w:ilvl w:val="0"/>
          <w:numId w:val="11"/>
        </w:numPr>
        <w:rPr>
          <w:rFonts w:eastAsia="Times New Roman"/>
          <w:lang w:val="de-DE"/>
        </w:rPr>
      </w:pPr>
      <w:r>
        <w:rPr>
          <w:rFonts w:eastAsia="Times New Roman"/>
          <w:lang w:val="de-DE"/>
        </w:rPr>
        <w:t xml:space="preserve">Den Vibrator lediglich mit Schraubzwingen zu befestigen reicht nicht aus. Es handelt sich hierbei um eine 2-Punkt-Anpressung, welche die Messwerte verfälschen kann. </w:t>
      </w:r>
    </w:p>
    <w:p w:rsidR="00AA1CAD" w:rsidRDefault="00AA1CAD" w:rsidP="00AA1CAD">
      <w:pPr>
        <w:pStyle w:val="Listenabsatz"/>
        <w:rPr>
          <w:lang w:val="de-DE"/>
        </w:rPr>
      </w:pPr>
    </w:p>
    <w:p w:rsidR="00AA1CAD" w:rsidRDefault="00AA1CAD" w:rsidP="00AA1CAD">
      <w:pPr>
        <w:rPr>
          <w:lang w:val="de-DE"/>
        </w:rPr>
      </w:pPr>
    </w:p>
    <w:p w:rsidR="00AA1CAD" w:rsidRDefault="00AA1CAD" w:rsidP="00AA1CAD">
      <w:pPr>
        <w:rPr>
          <w:lang w:val="de-DE"/>
        </w:rPr>
      </w:pPr>
      <w:r>
        <w:rPr>
          <w:lang w:val="de-DE"/>
        </w:rPr>
        <w:t>Dieses Wissen setzen wir heute gezielt bei unterschiedlichsten Bauteilen ein – mit besten Ergebnissen für unsere Kunden, die mit dieser optimierten Technologie neben weiteren Vorteilen oft enorme Einsparungen erzielen.</w:t>
      </w:r>
    </w:p>
    <w:p w:rsidR="00AA1CAD" w:rsidRDefault="00AA1CAD" w:rsidP="00AA1CAD">
      <w:pPr>
        <w:rPr>
          <w:lang w:val="de-DE"/>
        </w:rPr>
      </w:pPr>
    </w:p>
    <w:p w:rsidR="00AA1CAD" w:rsidRDefault="00AA1CAD" w:rsidP="00AA1CAD">
      <w:r>
        <w:t xml:space="preserve">Gerne stehen wir Ihnen für weitere Auskünfte jederzeit zur Verfügung.  </w:t>
      </w:r>
    </w:p>
    <w:p w:rsidR="00AA1CAD" w:rsidRDefault="00AA1CAD" w:rsidP="00AA1CAD"/>
    <w:p w:rsidR="00AA1CAD" w:rsidRDefault="00AA1CAD" w:rsidP="00AA1CAD">
      <w:r>
        <w:t>  </w:t>
      </w:r>
    </w:p>
    <w:p w:rsidR="00AA1CAD" w:rsidRDefault="00AA1CAD" w:rsidP="00AA1CAD">
      <w:r>
        <w:rPr>
          <w:color w:val="1F497D"/>
        </w:rPr>
        <w:t>Herzliche Grüsse / best</w:t>
      </w:r>
      <w:proofErr w:type="gramStart"/>
      <w:r>
        <w:rPr>
          <w:color w:val="1F497D"/>
        </w:rPr>
        <w:t xml:space="preserve">  </w:t>
      </w:r>
      <w:proofErr w:type="spellStart"/>
      <w:r>
        <w:rPr>
          <w:color w:val="1F497D"/>
        </w:rPr>
        <w:t>regards</w:t>
      </w:r>
      <w:proofErr w:type="spellEnd"/>
      <w:proofErr w:type="gramEnd"/>
      <w:r>
        <w:rPr>
          <w:color w:val="1F497D"/>
        </w:rPr>
        <w:t xml:space="preserve">  </w:t>
      </w:r>
    </w:p>
    <w:p w:rsidR="00AA1CAD" w:rsidRDefault="00AA1CAD" w:rsidP="00AA1CAD">
      <w:r>
        <w:rPr>
          <w:rFonts w:ascii="Edwardian Script ITC" w:hAnsi="Edwardian Script ITC"/>
          <w:b/>
          <w:bCs/>
          <w:color w:val="00B050"/>
          <w:sz w:val="28"/>
          <w:szCs w:val="28"/>
        </w:rPr>
        <w:t>Hans Peter Widmer</w:t>
      </w:r>
    </w:p>
    <w:p w:rsidR="00AA1CAD" w:rsidRDefault="00AA1CAD" w:rsidP="00AA1CAD">
      <w:r>
        <w:rPr>
          <w:rFonts w:ascii="Edwardian Script ITC" w:hAnsi="Edwardian Script ITC"/>
          <w:color w:val="548DD4"/>
          <w:sz w:val="28"/>
          <w:szCs w:val="28"/>
        </w:rPr>
        <w:t> </w:t>
      </w:r>
    </w:p>
    <w:p w:rsidR="00AA1CAD" w:rsidRDefault="00AA1CAD" w:rsidP="00AA1CAD">
      <w:r>
        <w:rPr>
          <w:b/>
          <w:bCs/>
          <w:color w:val="1F497D"/>
        </w:rPr>
        <w:t xml:space="preserve">WIAP AG </w:t>
      </w:r>
      <w:proofErr w:type="spellStart"/>
      <w:r>
        <w:rPr>
          <w:b/>
          <w:bCs/>
          <w:color w:val="1F497D"/>
        </w:rPr>
        <w:t>Ltd</w:t>
      </w:r>
      <w:proofErr w:type="spellEnd"/>
      <w:r>
        <w:rPr>
          <w:b/>
          <w:bCs/>
          <w:color w:val="1F497D"/>
        </w:rPr>
        <w:t xml:space="preserve"> SA</w:t>
      </w:r>
    </w:p>
    <w:p w:rsidR="00AA1CAD" w:rsidRDefault="00AA1CAD" w:rsidP="00AA1CAD">
      <w:r>
        <w:rPr>
          <w:color w:val="1F497D"/>
        </w:rPr>
        <w:t>Industriestrasse 48L</w:t>
      </w:r>
    </w:p>
    <w:p w:rsidR="00AA1CAD" w:rsidRDefault="00AA1CAD" w:rsidP="00AA1CAD">
      <w:r>
        <w:rPr>
          <w:color w:val="1F497D"/>
        </w:rPr>
        <w:t xml:space="preserve">CH 4657 </w:t>
      </w:r>
      <w:proofErr w:type="spellStart"/>
      <w:r>
        <w:rPr>
          <w:color w:val="1F497D"/>
        </w:rPr>
        <w:t>Dulliken</w:t>
      </w:r>
      <w:proofErr w:type="spellEnd"/>
      <w:r>
        <w:rPr>
          <w:color w:val="1F497D"/>
        </w:rPr>
        <w:t xml:space="preserve">, Switzerland </w:t>
      </w:r>
    </w:p>
    <w:p w:rsidR="00AA1CAD" w:rsidRDefault="00AA1CAD" w:rsidP="00AA1CAD">
      <w:r>
        <w:rPr>
          <w:color w:val="1F497D"/>
        </w:rPr>
        <w:t>Tel. +41 62 752 42 60</w:t>
      </w:r>
    </w:p>
    <w:p w:rsidR="00AA1CAD" w:rsidRDefault="00AA1CAD" w:rsidP="00AA1CAD">
      <w:r>
        <w:rPr>
          <w:i/>
          <w:iCs/>
          <w:color w:val="1F497D"/>
        </w:rPr>
        <w:t>        +41 78 797 48 60     </w:t>
      </w:r>
    </w:p>
    <w:p w:rsidR="00AA1CAD" w:rsidRDefault="00AA1CAD" w:rsidP="00AA1CAD">
      <w:r>
        <w:rPr>
          <w:color w:val="1F497D"/>
        </w:rPr>
        <w:t xml:space="preserve">Mail: </w:t>
      </w:r>
      <w:r>
        <w:rPr>
          <w:i/>
          <w:iCs/>
          <w:color w:val="1F497D"/>
        </w:rPr>
        <w:t> </w:t>
      </w:r>
      <w:hyperlink r:id="rId33" w:history="1">
        <w:r>
          <w:rPr>
            <w:rStyle w:val="Hyperlink"/>
            <w:i/>
            <w:iCs/>
          </w:rPr>
          <w:t>hanspeter@widmers.info</w:t>
        </w:r>
      </w:hyperlink>
      <w:r>
        <w:rPr>
          <w:color w:val="1F497D"/>
        </w:rPr>
        <w:t xml:space="preserve"> </w:t>
      </w:r>
    </w:p>
    <w:p w:rsidR="00AA1CAD" w:rsidRDefault="00AA1CAD" w:rsidP="00AA1CAD">
      <w:r>
        <w:t xml:space="preserve">Webseite:  </w:t>
      </w:r>
      <w:hyperlink r:id="rId34" w:history="1">
        <w:r>
          <w:rPr>
            <w:rStyle w:val="Hyperlink"/>
          </w:rPr>
          <w:t>www.wiap.ch</w:t>
        </w:r>
      </w:hyperlink>
    </w:p>
    <w:p w:rsidR="00C9378E" w:rsidRDefault="00C9378E" w:rsidP="00C9378E"/>
    <w:p w:rsidR="006E2FA1" w:rsidRPr="00C9378E" w:rsidRDefault="006E2FA1" w:rsidP="00C9378E"/>
    <w:sectPr w:rsidR="006E2FA1" w:rsidRPr="00C9378E" w:rsidSect="0020523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B73"/>
    <w:multiLevelType w:val="multilevel"/>
    <w:tmpl w:val="701E9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9C5B04"/>
    <w:multiLevelType w:val="multilevel"/>
    <w:tmpl w:val="064C1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E941F8"/>
    <w:multiLevelType w:val="multilevel"/>
    <w:tmpl w:val="29667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106FC5"/>
    <w:multiLevelType w:val="hybridMultilevel"/>
    <w:tmpl w:val="C76E7B36"/>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
    <w:nsid w:val="19DF3AC3"/>
    <w:multiLevelType w:val="multilevel"/>
    <w:tmpl w:val="1968F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8A115B"/>
    <w:multiLevelType w:val="hybridMultilevel"/>
    <w:tmpl w:val="299CA302"/>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nsid w:val="2ED43FA3"/>
    <w:multiLevelType w:val="multilevel"/>
    <w:tmpl w:val="38A22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41439E"/>
    <w:multiLevelType w:val="multilevel"/>
    <w:tmpl w:val="AB267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6034CBD"/>
    <w:multiLevelType w:val="multilevel"/>
    <w:tmpl w:val="71A40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6EF25C7"/>
    <w:multiLevelType w:val="multilevel"/>
    <w:tmpl w:val="04C2D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550A06"/>
    <w:multiLevelType w:val="hybridMultilevel"/>
    <w:tmpl w:val="634A9D8E"/>
    <w:lvl w:ilvl="0" w:tplc="386A86EA">
      <w:numFmt w:val="bullet"/>
      <w:lvlText w:val="-"/>
      <w:lvlJc w:val="left"/>
      <w:pPr>
        <w:ind w:left="720" w:hanging="360"/>
      </w:pPr>
      <w:rPr>
        <w:rFonts w:ascii="Calibri" w:eastAsia="Calibri" w:hAnsi="Calibri" w:cs="Calibri" w:hint="default"/>
        <w:color w:val="1F497D"/>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16E7C"/>
    <w:rsid w:val="0020523F"/>
    <w:rsid w:val="00436A77"/>
    <w:rsid w:val="006E2FA1"/>
    <w:rsid w:val="00A16E7C"/>
    <w:rsid w:val="00AA1CAD"/>
    <w:rsid w:val="00B8174D"/>
    <w:rsid w:val="00C873CD"/>
    <w:rsid w:val="00C9378E"/>
    <w:rsid w:val="00E969B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FA1"/>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6E7C"/>
    <w:rPr>
      <w:color w:val="0000FF" w:themeColor="hyperlink"/>
      <w:u w:val="single"/>
    </w:rPr>
  </w:style>
  <w:style w:type="paragraph" w:styleId="Listenabsatz">
    <w:name w:val="List Paragraph"/>
    <w:basedOn w:val="Standard"/>
    <w:uiPriority w:val="34"/>
    <w:qFormat/>
    <w:rsid w:val="006E2FA1"/>
    <w:pPr>
      <w:ind w:left="720"/>
    </w:pPr>
  </w:style>
  <w:style w:type="paragraph" w:styleId="Sprechblasentext">
    <w:name w:val="Balloon Text"/>
    <w:basedOn w:val="Standard"/>
    <w:link w:val="SprechblasentextZchn"/>
    <w:uiPriority w:val="99"/>
    <w:semiHidden/>
    <w:unhideWhenUsed/>
    <w:rsid w:val="00AA1C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CAD"/>
    <w:rPr>
      <w:rFonts w:ascii="Tahoma"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divs>
    <w:div w:id="222568177">
      <w:bodyDiv w:val="1"/>
      <w:marLeft w:val="0"/>
      <w:marRight w:val="0"/>
      <w:marTop w:val="0"/>
      <w:marBottom w:val="0"/>
      <w:divBdr>
        <w:top w:val="none" w:sz="0" w:space="0" w:color="auto"/>
        <w:left w:val="none" w:sz="0" w:space="0" w:color="auto"/>
        <w:bottom w:val="none" w:sz="0" w:space="0" w:color="auto"/>
        <w:right w:val="none" w:sz="0" w:space="0" w:color="auto"/>
      </w:divBdr>
    </w:div>
    <w:div w:id="228879434">
      <w:bodyDiv w:val="1"/>
      <w:marLeft w:val="0"/>
      <w:marRight w:val="0"/>
      <w:marTop w:val="0"/>
      <w:marBottom w:val="0"/>
      <w:divBdr>
        <w:top w:val="none" w:sz="0" w:space="0" w:color="auto"/>
        <w:left w:val="none" w:sz="0" w:space="0" w:color="auto"/>
        <w:bottom w:val="none" w:sz="0" w:space="0" w:color="auto"/>
        <w:right w:val="none" w:sz="0" w:space="0" w:color="auto"/>
      </w:divBdr>
    </w:div>
    <w:div w:id="303319818">
      <w:bodyDiv w:val="1"/>
      <w:marLeft w:val="0"/>
      <w:marRight w:val="0"/>
      <w:marTop w:val="0"/>
      <w:marBottom w:val="0"/>
      <w:divBdr>
        <w:top w:val="none" w:sz="0" w:space="0" w:color="auto"/>
        <w:left w:val="none" w:sz="0" w:space="0" w:color="auto"/>
        <w:bottom w:val="none" w:sz="0" w:space="0" w:color="auto"/>
        <w:right w:val="none" w:sz="0" w:space="0" w:color="auto"/>
      </w:divBdr>
    </w:div>
    <w:div w:id="599991877">
      <w:bodyDiv w:val="1"/>
      <w:marLeft w:val="0"/>
      <w:marRight w:val="0"/>
      <w:marTop w:val="0"/>
      <w:marBottom w:val="0"/>
      <w:divBdr>
        <w:top w:val="none" w:sz="0" w:space="0" w:color="auto"/>
        <w:left w:val="none" w:sz="0" w:space="0" w:color="auto"/>
        <w:bottom w:val="none" w:sz="0" w:space="0" w:color="auto"/>
        <w:right w:val="none" w:sz="0" w:space="0" w:color="auto"/>
      </w:divBdr>
    </w:div>
    <w:div w:id="799304425">
      <w:bodyDiv w:val="1"/>
      <w:marLeft w:val="0"/>
      <w:marRight w:val="0"/>
      <w:marTop w:val="0"/>
      <w:marBottom w:val="0"/>
      <w:divBdr>
        <w:top w:val="none" w:sz="0" w:space="0" w:color="auto"/>
        <w:left w:val="none" w:sz="0" w:space="0" w:color="auto"/>
        <w:bottom w:val="none" w:sz="0" w:space="0" w:color="auto"/>
        <w:right w:val="none" w:sz="0" w:space="0" w:color="auto"/>
      </w:divBdr>
    </w:div>
    <w:div w:id="1041319333">
      <w:bodyDiv w:val="1"/>
      <w:marLeft w:val="0"/>
      <w:marRight w:val="0"/>
      <w:marTop w:val="0"/>
      <w:marBottom w:val="0"/>
      <w:divBdr>
        <w:top w:val="none" w:sz="0" w:space="0" w:color="auto"/>
        <w:left w:val="none" w:sz="0" w:space="0" w:color="auto"/>
        <w:bottom w:val="none" w:sz="0" w:space="0" w:color="auto"/>
        <w:right w:val="none" w:sz="0" w:space="0" w:color="auto"/>
      </w:divBdr>
    </w:div>
    <w:div w:id="1189417929">
      <w:bodyDiv w:val="1"/>
      <w:marLeft w:val="0"/>
      <w:marRight w:val="0"/>
      <w:marTop w:val="0"/>
      <w:marBottom w:val="0"/>
      <w:divBdr>
        <w:top w:val="none" w:sz="0" w:space="0" w:color="auto"/>
        <w:left w:val="none" w:sz="0" w:space="0" w:color="auto"/>
        <w:bottom w:val="none" w:sz="0" w:space="0" w:color="auto"/>
        <w:right w:val="none" w:sz="0" w:space="0" w:color="auto"/>
      </w:divBdr>
    </w:div>
    <w:div w:id="12019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ap.ch/Diverse%20Sprachen/Deutsch/10.%20Liefersortiment/in%20Ueberabreitung.htm" TargetMode="External"/><Relationship Id="rId13" Type="http://schemas.openxmlformats.org/officeDocument/2006/relationships/image" Target="media/image2.jpeg"/><Relationship Id="rId18" Type="http://schemas.openxmlformats.org/officeDocument/2006/relationships/hyperlink" Target="https://www.wiap.ch/patente%20neu/Patente%202014.htm" TargetMode="External"/><Relationship Id="rId26" Type="http://schemas.openxmlformats.org/officeDocument/2006/relationships/image" Target="cid:image006.jpg@01D4CCF2.5FA4BA10" TargetMode="External"/><Relationship Id="rId3" Type="http://schemas.openxmlformats.org/officeDocument/2006/relationships/settings" Target="settings.xml"/><Relationship Id="rId21" Type="http://schemas.openxmlformats.org/officeDocument/2006/relationships/hyperlink" Target="https://www.wiap.ch/patente%20neu/Patente%202017.htm" TargetMode="External"/><Relationship Id="rId34" Type="http://schemas.openxmlformats.org/officeDocument/2006/relationships/hyperlink" Target="http://www.wiap.ch/" TargetMode="External"/><Relationship Id="rId7" Type="http://schemas.openxmlformats.org/officeDocument/2006/relationships/hyperlink" Target="https://www.wiap.ch/Berichte/Bericht%20Turbinen%20Ringe.htm" TargetMode="External"/><Relationship Id="rId12" Type="http://schemas.openxmlformats.org/officeDocument/2006/relationships/image" Target="cid:image001.jpg@01D4CCF2.5FA4BA10" TargetMode="External"/><Relationship Id="rId17" Type="http://schemas.openxmlformats.org/officeDocument/2006/relationships/image" Target="cid:image003.jpg@01D4CCF2.5FA4BA10" TargetMode="External"/><Relationship Id="rId25" Type="http://schemas.openxmlformats.org/officeDocument/2006/relationships/image" Target="media/image6.jpeg"/><Relationship Id="rId33" Type="http://schemas.openxmlformats.org/officeDocument/2006/relationships/hyperlink" Target="mailto:hanspeter@widmers.info"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cid:image004.jpg@01D4CCF2.5FA4BA10" TargetMode="External"/><Relationship Id="rId29" Type="http://schemas.openxmlformats.org/officeDocument/2006/relationships/hyperlink" Target="https://www.wiap.ch/Alte%20Literatur/WM_807b_Original_Gnirss_02_1988_en.pdf" TargetMode="External"/><Relationship Id="rId1" Type="http://schemas.openxmlformats.org/officeDocument/2006/relationships/numbering" Target="numbering.xml"/><Relationship Id="rId6" Type="http://schemas.openxmlformats.org/officeDocument/2006/relationships/hyperlink" Target="https://www.wiap.ch/Berichte/Untergestelle%20%20Fahrzeuge.htm" TargetMode="External"/><Relationship Id="rId11" Type="http://schemas.openxmlformats.org/officeDocument/2006/relationships/image" Target="media/image1.jpeg"/><Relationship Id="rId24" Type="http://schemas.openxmlformats.org/officeDocument/2006/relationships/hyperlink" Target="https://www.wiap.ch/patente%20neu/Patente%202017%202.htm" TargetMode="External"/><Relationship Id="rId32" Type="http://schemas.openxmlformats.org/officeDocument/2006/relationships/hyperlink" Target="https://www.wiap.ch/Alte%20Literatur/WM_807c_Original_Gnirss_02_1988_fr_r1.pdf" TargetMode="External"/><Relationship Id="rId5" Type="http://schemas.openxmlformats.org/officeDocument/2006/relationships/hyperlink" Target="https://www.wiap.ch/Neuheiten%20MEMV%202016/Walzen.htm" TargetMode="External"/><Relationship Id="rId15" Type="http://schemas.openxmlformats.org/officeDocument/2006/relationships/hyperlink" Target="https://www.wiap.ch/Ermittlungsberichte/Erfahrungsbericht%20WM%20836.htm" TargetMode="External"/><Relationship Id="rId23" Type="http://schemas.openxmlformats.org/officeDocument/2006/relationships/image" Target="cid:image005.jpg@01D4CCF2.5FA4BA10" TargetMode="External"/><Relationship Id="rId28" Type="http://schemas.openxmlformats.org/officeDocument/2006/relationships/hyperlink" Target="https://www.wiap.ch/Alte%20Literatur/WM_807a_Original_Gnirss_01_1986_Band27_S439_442_r3hp%20(2).pdf" TargetMode="External"/><Relationship Id="rId36" Type="http://schemas.openxmlformats.org/officeDocument/2006/relationships/theme" Target="theme/theme1.xml"/><Relationship Id="rId10" Type="http://schemas.openxmlformats.org/officeDocument/2006/relationships/hyperlink" Target="https://www.wiap.ch/MEMV%20Prospekt/Prospekt_Fachartikel_12S_DE_r20.pdf" TargetMode="External"/><Relationship Id="rId19" Type="http://schemas.openxmlformats.org/officeDocument/2006/relationships/image" Target="media/image4.jpeg"/><Relationship Id="rId31" Type="http://schemas.openxmlformats.org/officeDocument/2006/relationships/hyperlink" Target="https://www.wiap.ch/Alte%20Literatur/WM_807%D1%81_Original_Gnirss_02_1988_fr.pdf" TargetMode="External"/><Relationship Id="rId4" Type="http://schemas.openxmlformats.org/officeDocument/2006/relationships/webSettings" Target="webSettings.xml"/><Relationship Id="rId9" Type="http://schemas.openxmlformats.org/officeDocument/2006/relationships/hyperlink" Target="https://www.wiap.ch/Berichte/WM877b%20Schwerlast%20Bauteile%20110%20Tonnen.htm" TargetMode="External"/><Relationship Id="rId14" Type="http://schemas.openxmlformats.org/officeDocument/2006/relationships/image" Target="cid:image002.jpg@01D4CCF2.5FA4BA10" TargetMode="External"/><Relationship Id="rId22" Type="http://schemas.openxmlformats.org/officeDocument/2006/relationships/image" Target="media/image5.jpeg"/><Relationship Id="rId27" Type="http://schemas.openxmlformats.org/officeDocument/2006/relationships/hyperlink" Target="https://www.wiap.ch/Alte%20Literatur/WN_807_Original_Gnirss_01_1986_Band27_S439_442_orcTest.pdf" TargetMode="External"/><Relationship Id="rId30" Type="http://schemas.openxmlformats.org/officeDocument/2006/relationships/hyperlink" Target="https://www.wiap.ch/Alte%20Literatur/WM_807b_Original_Gnirss_02_1988_en_r1.pdf" TargetMode="External"/><Relationship Id="rId35"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6058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2019-03-13T14:46:00Z</dcterms:created>
  <dcterms:modified xsi:type="dcterms:W3CDTF">2019-03-13T14:46:00Z</dcterms:modified>
</cp:coreProperties>
</file>